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ind w:firstLine="0" w:firstLineChars="0"/>
        <w:jc w:val="center"/>
        <w:rPr>
          <w:rFonts w:hint="eastAsia" w:ascii="Times New Roman" w:hAnsi="Times New Roman" w:eastAsia="华文行楷" w:cs="Times New Roman"/>
          <w:color w:val="FF0000"/>
          <w:spacing w:val="-140"/>
          <w:sz w:val="110"/>
          <w:szCs w:val="110"/>
          <w:lang w:eastAsia="zh-CN"/>
        </w:rPr>
      </w:pPr>
      <w:r>
        <w:rPr>
          <w:rFonts w:hint="eastAsia" w:ascii="Times New Roman" w:hAnsi="Times New Roman" w:eastAsia="华文行楷" w:cs="Times New Roman"/>
          <w:color w:val="FF0000"/>
          <w:spacing w:val="-60"/>
          <w:sz w:val="110"/>
          <w:szCs w:val="110"/>
          <w:lang w:val="en-US" w:eastAsia="zh-CN"/>
        </w:rPr>
        <w:t>政治</w:t>
      </w:r>
      <w:r>
        <w:rPr>
          <w:rFonts w:ascii="Times New Roman" w:hAnsi="Times New Roman" w:eastAsia="华文行楷" w:cs="Times New Roman"/>
          <w:color w:val="FF0000"/>
          <w:spacing w:val="-60"/>
          <w:sz w:val="110"/>
          <w:szCs w:val="110"/>
        </w:rPr>
        <w:t>理论学习</w:t>
      </w:r>
      <w:r>
        <w:rPr>
          <w:rFonts w:hint="eastAsia" w:ascii="Times New Roman" w:hAnsi="Times New Roman" w:eastAsia="华文行楷" w:cs="Times New Roman"/>
          <w:color w:val="FF0000"/>
          <w:spacing w:val="-60"/>
          <w:sz w:val="110"/>
          <w:szCs w:val="110"/>
          <w:lang w:val="en-US" w:eastAsia="zh-CN"/>
        </w:rPr>
        <w:t>资料</w:t>
      </w:r>
    </w:p>
    <w:p>
      <w:pPr>
        <w:spacing w:after="192" w:afterLines="50" w:line="500" w:lineRule="exact"/>
        <w:ind w:left="0" w:leftChars="0" w:firstLine="0" w:firstLineChars="0"/>
        <w:jc w:val="center"/>
        <w:rPr>
          <w:rFonts w:hint="eastAsia" w:ascii="Times New Roman" w:hAnsi="Times New Roman" w:eastAsia="楷体_GB2312" w:cs="Times New Roman"/>
          <w:sz w:val="30"/>
          <w:szCs w:val="30"/>
          <w:lang w:val="en-US" w:eastAsia="zh-CN"/>
        </w:rPr>
      </w:pPr>
      <w:r>
        <w:rPr>
          <w:rFonts w:hint="eastAsia" w:ascii="Times New Roman" w:hAnsi="Times New Roman" w:eastAsia="楷体_GB2312" w:cs="Times New Roman"/>
          <w:sz w:val="30"/>
          <w:szCs w:val="30"/>
          <w:lang w:val="en-US" w:eastAsia="zh-CN"/>
        </w:rPr>
        <w:t>2024年第15期（4月8日-14日）</w:t>
      </w:r>
    </w:p>
    <w:p>
      <w:pPr>
        <w:spacing w:after="192" w:afterLines="50" w:line="500" w:lineRule="exact"/>
        <w:ind w:left="0" w:leftChars="0" w:firstLine="0" w:firstLineChars="0"/>
        <w:jc w:val="left"/>
        <w:rPr>
          <w:rFonts w:ascii="Times New Roman" w:hAnsi="Times New Roman" w:eastAsia="楷体_GB2312" w:cs="Times New Roman"/>
          <w:sz w:val="30"/>
          <w:szCs w:val="30"/>
        </w:rPr>
      </w:pPr>
      <w:r>
        <w:rPr>
          <w:rFonts w:hint="eastAsia" w:ascii="Times New Roman" w:hAnsi="Times New Roman" w:eastAsia="楷体_GB2312" w:cs="Times New Roman"/>
          <w:sz w:val="30"/>
          <w:szCs w:val="30"/>
          <w:lang w:val="en-US" w:eastAsia="zh-CN"/>
        </w:rPr>
        <w:t xml:space="preserve">党委宣传部编印  </w:t>
      </w:r>
      <w:r>
        <w:rPr>
          <w:rFonts w:hint="eastAsia" w:ascii="仿宋_GB2312" w:hAnsi="仿宋_GB2312" w:eastAsia="仿宋_GB2312" w:cs="仿宋_GB2312"/>
          <w:sz w:val="32"/>
          <w:szCs w:val="32"/>
        </w:rPr>
        <w:t xml:space="preserve">  </w:t>
      </w:r>
      <w:r>
        <w:rPr>
          <w:rFonts w:ascii="Times New Roman" w:hAnsi="Times New Roman" w:eastAsia="楷体_GB2312" w:cs="Times New Roman"/>
          <w:sz w:val="30"/>
          <w:szCs w:val="30"/>
        </w:rPr>
        <w:t xml:space="preserve">                      </w:t>
      </w:r>
      <w:r>
        <w:rPr>
          <w:rFonts w:hint="eastAsia" w:ascii="Times New Roman" w:hAnsi="Times New Roman" w:eastAsia="楷体_GB2312" w:cs="Times New Roman"/>
          <w:sz w:val="30"/>
          <w:szCs w:val="30"/>
          <w:lang w:val="en-US" w:eastAsia="zh-CN"/>
        </w:rPr>
        <w:t>2024年4月8日</w:t>
      </w:r>
      <w:r>
        <w:rPr>
          <w:rFonts w:ascii="Times New Roman" w:hAnsi="Times New Roman" w:eastAsia="楷体_GB2312" w:cs="Times New Roman"/>
          <w:sz w:val="30"/>
          <w:szCs w:val="30"/>
        </w:rPr>
        <w:t xml:space="preserve">  </w:t>
      </w:r>
    </w:p>
    <w:p>
      <w:pPr>
        <w:ind w:firstLine="560"/>
        <w:rPr>
          <w:rFonts w:ascii="Times New Roman" w:hAnsi="Times New Roman" w:cs="Times New Roman"/>
        </w:rPr>
      </w:pPr>
      <w:r>
        <w:rPr>
          <w:rFonts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17780</wp:posOffset>
                </wp:positionV>
                <wp:extent cx="5715000" cy="30480"/>
                <wp:effectExtent l="0" t="19050" r="0" b="2667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V="1">
                          <a:off x="0" y="0"/>
                          <a:ext cx="5715000" cy="30480"/>
                        </a:xfrm>
                        <a:prstGeom prst="line">
                          <a:avLst/>
                        </a:prstGeom>
                        <a:noFill/>
                        <a:ln w="38100" cmpd="sng">
                          <a:solidFill>
                            <a:srgbClr val="FF0000"/>
                          </a:solidFill>
                          <a:round/>
                        </a:ln>
                      </wps:spPr>
                      <wps:bodyPr/>
                    </wps:wsp>
                  </a:graphicData>
                </a:graphic>
              </wp:anchor>
            </w:drawing>
          </mc:Choice>
          <mc:Fallback>
            <w:pict>
              <v:line id="_x0000_s1026" o:spid="_x0000_s1026" o:spt="20" style="position:absolute;left:0pt;flip:y;margin-left:-9.75pt;margin-top:1.4pt;height:2.4pt;width:450pt;z-index:251659264;mso-width-relative:page;mso-height-relative:page;" filled="f" stroked="t" coordsize="21600,21600" o:gfxdata="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5ekVl1wAAAAcBAAAPAAAAAAAAAAEAIAAAACIAAABkcnMvZG93bnJldi54bWxQSwEC&#10;FAAUAAAACACHTuJAEHwz9PUBAADEAwAADgAAAAAAAAABACAAAAAmAQAAZHJzL2Uyb0RvYy54bWxQ&#10;SwUGAAAAAAYABgBZAQAAjQUAAAAA&#10;">
                <v:fill on="f" focussize="0,0"/>
                <v:stroke weight="3pt" color="#FF0000" joinstyle="round"/>
                <v:imagedata o:title=""/>
                <o:lock v:ext="edit" aspectratio="f"/>
              </v:line>
            </w:pict>
          </mc:Fallback>
        </mc:AlternateContent>
      </w:r>
    </w:p>
    <w:p>
      <w:pPr>
        <w:ind w:left="0" w:leftChars="0" w:firstLine="0" w:firstLineChars="0"/>
        <w:jc w:val="center"/>
        <w:rPr>
          <w:rFonts w:hint="eastAsia" w:ascii="仿宋_GB2312" w:hAnsi="仿宋_GB2312" w:eastAsia="仿宋_GB2312" w:cs="仿宋_GB2312"/>
          <w:color w:val="000000"/>
          <w:sz w:val="32"/>
          <w:szCs w:val="32"/>
          <w:lang w:val="en-US" w:eastAsia="zh-CN"/>
        </w:rPr>
      </w:pPr>
      <w:r>
        <w:rPr>
          <w:rFonts w:hint="eastAsia" w:ascii="方正小标宋简体" w:hAnsi="方正小标宋简体" w:eastAsia="方正小标宋简体" w:cs="方正小标宋简体"/>
          <w:color w:val="000000"/>
          <w:sz w:val="44"/>
        </w:rPr>
        <w:t>本期政治理论学习</w:t>
      </w:r>
      <w:r>
        <w:rPr>
          <w:rFonts w:hint="eastAsia" w:ascii="方正小标宋简体" w:hAnsi="方正小标宋简体" w:eastAsia="方正小标宋简体" w:cs="方正小标宋简体"/>
          <w:color w:val="000000"/>
          <w:sz w:val="44"/>
          <w:lang w:val="en-US" w:eastAsia="zh-CN"/>
        </w:rPr>
        <w:t>内容</w:t>
      </w:r>
      <w:r>
        <w:rPr>
          <w:rFonts w:hint="eastAsia" w:ascii="方正小标宋简体" w:hAnsi="方正小标宋简体" w:eastAsia="方正小标宋简体" w:cs="方正小标宋简体"/>
          <w:color w:val="000000"/>
          <w:sz w:val="44"/>
        </w:rPr>
        <w:t>目录</w:t>
      </w:r>
    </w:p>
    <w:p>
      <w:pPr>
        <w:rPr>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1.习近平在参加首都义务植树活动时强调 全民植树增绿 共建美丽中国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2.中央党的建设工作领导小组召开会议 研究部署党纪学习教育工作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3.中共中央办公厅印发《通知》 在全党开展党纪学习教育</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4.浙江省委书</w:t>
      </w:r>
      <w:bookmarkStart w:id="0" w:name="_GoBack"/>
      <w:bookmarkEnd w:id="0"/>
      <w:r>
        <w:rPr>
          <w:rFonts w:hint="eastAsia" w:ascii="仿宋_GB2312" w:hAnsi="仿宋_GB2312" w:eastAsia="仿宋_GB2312" w:cs="仿宋_GB2312"/>
          <w:b w:val="0"/>
          <w:bCs w:val="0"/>
          <w:kern w:val="2"/>
          <w:sz w:val="32"/>
          <w:szCs w:val="32"/>
          <w:lang w:val="en-US" w:eastAsia="zh-CN" w:bidi="ar-SA"/>
        </w:rPr>
        <w:t>记易炼红在省委农村工作会议上的讲话（摘要）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仿宋_GB2312" w:hAnsi="仿宋_GB2312" w:eastAsia="仿宋_GB2312" w:cs="仿宋_GB2312"/>
          <w:b w:val="0"/>
          <w:bCs w:val="0"/>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p>
    <w:p>
      <w:pPr>
        <w:rPr>
          <w:sz w:val="32"/>
          <w:szCs w:val="32"/>
        </w:rPr>
      </w:pPr>
    </w:p>
    <w:p>
      <w:pPr>
        <w:rPr>
          <w:sz w:val="32"/>
          <w:szCs w:val="32"/>
        </w:rPr>
      </w:pPr>
    </w:p>
    <w:p>
      <w:pPr>
        <w:rPr>
          <w:sz w:val="32"/>
          <w:szCs w:val="32"/>
        </w:rPr>
      </w:pPr>
    </w:p>
    <w:p>
      <w:pPr>
        <w:rPr>
          <w:sz w:val="32"/>
          <w:szCs w:val="32"/>
        </w:rPr>
      </w:pPr>
    </w:p>
    <w:p>
      <w:pPr>
        <w:rPr>
          <w:sz w:val="32"/>
          <w:szCs w:val="32"/>
        </w:rPr>
      </w:pPr>
    </w:p>
    <w:p>
      <w:pPr>
        <w:rPr>
          <w:rFonts w:hint="eastAsia" w:ascii="仿宋_GB2312" w:hAnsi="仿宋_GB2312" w:eastAsia="仿宋_GB2312" w:cs="仿宋_GB2312"/>
          <w:sz w:val="32"/>
          <w:szCs w:val="32"/>
        </w:rPr>
        <w:sectPr>
          <w:pgSz w:w="11906" w:h="16838"/>
          <w:pgMar w:top="1440" w:right="1800" w:bottom="1440" w:left="1800" w:header="851" w:footer="992" w:gutter="0"/>
          <w:pgNumType w:fmt="decimal" w:start="1"/>
          <w:cols w:space="425" w:num="1"/>
          <w:docGrid w:type="lines" w:linePitch="312" w:charSpace="0"/>
        </w:sectPr>
      </w:pP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习近平在参加首都义务植树活动时强调</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全民植树增绿 共建美丽中国</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新华社北京4月3日电　中共中央总书记、国家主席、中央军委主席习近平3日上午在参加首都义务植树活动时强调，清明前后，神州大地处处生机盎然，正是植树的好时节。今天我们一起种树，就是要号召大家都行动起来，积极参与植树造林，人人争当绿色使者、生态先锋，为建设美丽中国增绿添彩，共同谱写人与自然和谐共生的中国式现代化新篇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京郊大地，春意正浓。上午10时40分许，党和国家领导人习近平、李强、赵乐际、王沪宁、蔡奇、丁薛祥、李希、韩正等集体乘车，来到北京市通州区潞城镇，同首都群众一起参加义务植树。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植树点地处北京市通州区与河北省廊坊市北三县交界地区，位于潮白河畔京冀首个跨界共建的森林公园内，具有良好的滨水生态条件。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看到总书记来了，正在植树的干部群众热情地向总书记问好。习近平向大家挥手致意，扛起铁锹走向植树地点，同北京市、国家林业和草原局负责同志以及首都干部群众、少先队员一起忙碌起来。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挥锹铲土、培土围堰、提水浇灌……习近平接连种下油松、黄栌、元宝枫、樱桃、红叶碧桃、侧柏等多棵树苗。习近平一边植树，一边询问孩子们的学习生活、劳动锻炼情况。他强调，广大青少年是祖国的未来，从小要积极参加劳动、植树造林，把绿色的种子种进心里，养成尊重自然、热爱自然的意识，勤奋学习、锻炼身体、茁壮成长，德智体美劳全面发展，努力成为国家栋梁。植树现场一派热火朝天的劳动景象，领导同志们同大家一起培土浇水，气氛热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植树期间，习近平同在场的干部群众亲切交谈。他说，到中央工作后，他已连续17年参加首都义务植树活动。他指出，今年是新中国植树节设立45周年。全国人民坚持植树造林，荒山披锦绣，沙漠变绿洲，成就举世瞩目。同时要看到，我国缺林少绿问题仍然突出，森林“宝库”作用发挥还不够充分。增绿就是增优势，植树就是植未来。要一茬接着一茬种，一代接着一代干，不断增厚我们的“绿色家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习近平强调，绿化祖国要扩绿、兴绿、护绿并举。扩绿，就是要科学推进大规模国土绿化，适地适树、适时适法，种一棵活一棵、造一片成一片。兴绿，就是要注重质量效益，拓展绿水青山转化为金山银山的路径，推动森林“水库、钱库、粮库、碳库”更好联动，实现生态效益、经济效益、社会效益相统一。护绿，就是要加强林草资源保护，做好防灭火工作，深入开展重大隐患排查整治，守护好来之不易的绿化成果。三北地区是国土绿化的主战场，要把更多力量集中到“三北”工程建设上来，筑牢北疆绿色长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习近平指出，绿化祖国要人人尽责。要畅通群众参与渠道、创新尽责形式，发挥好林长制作用，把各方面力量调动起来，推动全民义务植树不断走深走实。</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在京中共中央政治局委员、中央书记处书记、国务委员等参加植树活动。</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中央党的建设工作领导小组召开会议</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rPr>
        <w:t>研究部署党纪学习教育工作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新华社北京4月3日电　中央党的建设工作领导小组3日召开会议，学习贯彻习近平总书记关于党纪学习教育的重要讲话和重要指示精神，听取党纪学习教育准备工作情况汇报，研究部署党纪学习教育工作。中共中央政治局常委、中央党的建设工作领导小组组长蔡奇主持会议并讲话，中共中央政治局常委、中央党的建设工作领导小组副组长李希出席会议并讲话。</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会议指出，经党中央同意，自2024年4月至7月在全党开展党纪学习教育。这次党纪学习教育，是加强党的纪律建设、推动全面从严治党向纵深发展的重要举措。党中央高度重视，习近平总书记多次就开展党纪学习教育发表重要讲话、作出重要指示，为开展党纪学习教育提供了重要遵循。近日，中共中央办公厅印发《关于在全党开展党纪学习教育的通知》。我们要深入学习贯彻习近平总书记的重要讲话和重要指示精神，落实《通知》要求，深刻领悟“两个确立”的决定性意义，坚决做到“两个维护”，切实把思想和行动统一到党中央决策部署上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会议强调，要进一步深化对加强党的纪律建设重要性和忽视党纪、违反党纪问题危害性的认识，推动各级党组织和领导班子从严抓好党的纪律建设，推动广大党员、干部强化遵守纪律的自觉，以严明的纪律确保全党自觉同以习近平同志为核心的党中央保持高度一致，统一思想、统一行动，知行知止、令行禁止，形成推进中国式现代化的强大动力和合力。要准确把握这次党纪学习教育的目标要求，教育引导党员干部学纪、知纪、明纪、守纪，搞清楚党的纪律规矩是什么，弄明白能干什么、不能干什么，始终做到忠诚干净担当。</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会议指出，要抓住学习重点，在学习贯彻《中国共产党纪律处分条例》上下功夫见成效。坚持逐章逐条学、联系实际学，抓好以案促学、以训助学，教育引导党员干部准确掌握其主旨要义和规定要求，进一步明确日常言行的衡量标尺，用党规党纪校正思想和行动，真正使学习党纪的过程成为增强纪律意识、提高党性修养的过程。</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会议强调，要压实各级党组织的领导责任，各级领导班子和党员领导干部带头学习，推动党员干部高质量完成党纪学习教育任务。要加强宣传引导，力戒形式主义，以良好作风保证党纪学习教育走深走实。要坚持两手抓两促进，把开展党纪学习教育同落实党中央重大决策部署、完成本地区本部门本单位重点工作紧密结合起来，使党纪学习教育每项措施都成为促进中心工作的有效举措，切实防止“两张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李干杰、李书磊、姜信治出席会议。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中央党的建设工作领导小组成员等参加会议。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中共中央办公厅印发《通知》</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在全党开展党纪学习教育</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新华社北京4月7日电　近日，中共中央办公厅印发了《关于在全党开展党纪学习教育的通知》（以下简称《通知》）。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《通知》指出，为深入学习贯彻修订后的《中国共产党纪律处分条例》（以下简称《条例》），经党中央同意，自2024年4月至7月，在全党开展党纪学习教育。</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通知》明确，要坚持以习近平新时代中国特色社会主义思想为指导，聚焦解决一些党员、干部对党规党纪不上心、不了解、不掌握等问题，组织党员特别是党员领导干部认真学习《条例》，做到学纪、知纪、明纪、守纪，搞清楚党的纪律规矩是什么，弄明白能干什么、不能干什么，把遵规守纪刻印在心，内化为言行准则，进一步强化纪律意识、加强自我约束、提高免疫能力，增强政治定力、纪律定力、道德定力、抵腐定力，始终做到忠诚干净担当。</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通知》强调，党纪学习教育要注重融入日常、抓在经常。要原原本本学，坚持个人自学与集中学习相结合，紧扣党的政治纪律、组织纪律、廉洁纪律、群众纪律、工作纪律、生活纪律进行研讨，推动《条例》入脑入心。要加强警示教育，深刻剖析违纪典型案例，注重用身边事教育身边人，让党员、干部受警醒、明底线、知敬畏。要加强解读和培训，深化《条例》理解运用。2024年度县处级以上领导班子民主生活会和基层党组织组织生活会，要把学习贯彻《条例》情况作为对照检查的重要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《通知》要求，各级党委（党组）要把开展党纪学习教育作为重要政治任务，精心组织实施，加强督促落实。要做好宣传引导工作，坚决反对形式主义，防止“低级红”、“高级黑”。</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浙江省委书记易炼红</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在省委农村工作会议上的讲话（摘要）</w:t>
      </w:r>
    </w:p>
    <w:p>
      <w:pPr>
        <w:rPr>
          <w:rFonts w:hint="eastAsia" w:ascii="仿宋_GB2312" w:hAnsi="仿宋_GB2312" w:eastAsia="仿宋_GB2312" w:cs="仿宋_GB2312"/>
          <w:sz w:val="32"/>
          <w:szCs w:val="32"/>
        </w:rPr>
      </w:pPr>
    </w:p>
    <w:p>
      <w:pPr>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持续推动“千万工程”迈向更高水平</w:t>
      </w:r>
    </w:p>
    <w:p>
      <w:pPr>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加快探索中国式农业农村现代化浙江路径</w:t>
      </w: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中共浙江省委书记   易炼红</w:t>
      </w:r>
    </w:p>
    <w:p>
      <w:pPr>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习近平总书记高度重视“三农”工作，在浙江工作期间亲自谋划部署推动“千万工程”重大决策，并将“千万工程”作为“三农”工作的主抓手，率先开启浙江农业农村现代化省域探索实践。党的十八大以来，习近平总书记从以中国式现代化全面推进强国建设、民族复兴伟业的战略全局高度，科学回答了农村改革发展一系列重大理论和实践问题，为做好新时代“三农”工作提供了根本遵循。尤其是今年中央一号文件以学习运用“千村示范、万村整治”工程经验有力有效推进乡村全面振兴为主题，集中贯彻习近平总书记关于“三农”工作的重要论述重要指示精神，体现运用推广习近平总书记抓“三农”工作基本立场观点方法的鲜明导向，为我们以“千万工程”引领乡村全面振兴指明了方向、明确了路径。我们要深入学习贯彻习近平总书记关于“三农”工作重要论述和考察浙江重要讲话精神，全面贯彻中央农村工作会议和今年中央一号文件精神，紧扣勇当先行者、谱写新篇章使命任务，结合落实省委关于全面加强“三支队伍”建设部署要求，动员全省上下牢记嘱托再创佳绩、感恩奋进再续辉煌、实干争先再攀新高，持续推动“千万工程”迈向更高水平，加快打造乡村全面振兴浙江样板，加快探索中国式农业农村现代化浙江路径，努力为推进乡村全面振兴、建设农业强国和推进中国式现代化贡献更多浙江力量。</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提高站位、深化认识谋“三农”，切实增强跨新步、再跃升的使命感责任感</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进中国式现代化，必须坚持不懈夯实农业基础，推进乡村全面振兴。我们必须紧扣推进中国式现代化这个最大的政治、坚持高质量发展这个新时代的硬道理来考量谋划，紧扣浙江勇当先行者、谱写新篇章的使命任务来定位推动，更加全面深入认识把握浙江“三农”工作为什么要跨新步、再跃升和怎样去跨新步、再跃升，持续增强做好“三农”工作的认识高度、理解深度、重视程度、工作力度。</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跨新步、再跃升必须坚守信心之本、力量之源。中央一号文件明确指出“千村示范、万村整治”工程创造了推进乡村全面振兴的成功经验和实践范例。我们必须更加深刻领悟“两个确立”的决定性意义，坚持一张蓝图绘到底、一以贯之抓落实，更好地转化运用“千万工程”蕴含的发展理念、工作方法和推进机制，在感恩奋进、实干争先中把习近平总书记擘画的宏伟蓝图变成美好现实，把习近平总书记殷殷嘱托化作做好浙江“三农”工作生动实践。</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跨新步、再跃升必须深谋制胜之道、振兴之策。习近平同志在浙江工作期间提出的人才强省战略，支撑推动浙江实现由资源小省向经济大省的跃升。在奋进中国式现代化新征程上，浙江要攻坚克难、突围发展，关键在人、关键在队伍。省委部署全面加强“三支队伍”建设，不仅是要向全社会传递信号，造就“人人皆可成才、个个皆能出彩、行行皆有奔头”的生动局面，形成“万马奔腾”的壮丽场景，也是着眼于深层次重塑浙江农业农村高质量发展、现代化先行的底层逻辑、发展动能和跃升路径。我们必须把人才队伍建设作为富农之基、强农之要、兴农之本，实施现代“新农人”培育行动，推动浙江“三农”发展进一步厚植新动力、开辟新空间、塑造新优势。</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跨新步、再跃升必须答好夯基之题、探路之问。促进共同富裕，是我们的目标追求，是农业农村现代化的题中之义。我们必须把农业农村作为共同富裕示范区建设的关键板块，持续缩小地区、城乡、收入三大差距，推进公共服务优质化、均衡化、普惠性，推动农耕文明和现代文明要素有机结合，打造更多可借鉴可推广可复制的经验做法，做到勇敢立潮头、永远立潮头。</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跨新步、再跃升必须攻克爬坡之艰、攀高之阻。总体上讲，浙江“三农”工作有很多亮点特色，但客观来讲，浙江是农业小省，在提高农民收入增速、加快农业科技自立自强等方面仍需发力推进。我们必须坚持目标导向与问题导向相结合，立足“三农”慢变量特性，下大气力、久久为功解决一批制约“三农”高质量发展的根本性问题，更加注重补短板、强弱项、固根本，让浙江“三农”这张金名片更加闪亮。</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突出牵引、紧扣重点强“三农”，推动浙江乡村全面振兴、加快农业农村现代化写好实践续篇、绘就时代新篇</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对照中央一号文件“两确保三提升两强化”的具体部署，做好今年浙江“三农”工作，重点要抓好6个方面任务：</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抓实本职主业，夯实粮食安全根基。粮食安全是“国之大者”，必须全面落实粮食安全党政同责，尽力而为保面积、提单产，切实提高粮食综合生产能力。要紧抓粮食生产，实施粮油等主要作物大面积单产提升行动，深化抛荒耕地和冬闲田综合整治利用攻坚行动，加大对产粮大县支持力度，确保粮食播种面积和产量稳定增长。要严守耕地红线，不折不扣、保质保量落实好耕地和永久基本农田保护任务，实施耕地有机质提升行动，切实守好耕地这个命根子。要增强保供能力，树立大农业观、大食物观，坚持保数量、保多样、保质量，一手抓产能调控、一手抓市场调节，健全农产品全产业链监测预警机制，加快构建多元化食物供给体系。</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着眼双向互动，激活乡村人才资源。推进乡村振兴，要突出人的主体地位、服务人的发展需求。要建强涉农干部队伍，放大农村工作指导员制度的影响力和辐射力，加强村社、乡镇等涉农干部针对性教育培训，打造懂农业、爱农村、爱农民的专业化复合型干部队伍。要壮大乡村头雁人才，用好科技特派员制度，深化培育乡村产业振兴带头人，加快培育乡村龙头企业家队伍，不断培育农业生产经营、乡村经营管理、乡村电商促富等“专精特新”人才，不断壮大农创客队伍，注重激发青年人才返乡创业热情，持续激活乡村科技领军人、创富带头人的创新创造活力。要提升农民技能素养，深入实施千万农民素质提升工程，打造“一县一特色”农民培训促富品牌，强化农业科技人才和农村高技能人才培养使用，助力农民群众练就技能立身、创业创富的硬核功夫。</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持挖潜赋能，提升产业创富质效。提升乡村产业发展水平是乡村振兴的重点、是农民增收的关键，必须因地制宜、放大特色，把“土”“特”“产”这三个字琢磨透，加快把农业建成现代化高质高效高收益产业。要在“土”里挖掘资源，从舌尖上的乡味、山水间的乡情、文脉中的乡事、民俗里的乡愁中，深挖农遗经济、生态、文化等多重价值，培育生态旅游、森林康养、休闲露营等新业态，推动乡土资源向特色产品活化转化。要在“特”上做强优势，打造一批农业特色产品、地理标志产品、历史经典产品、乡村新业态产品，做强茶叶、黄酒、丝绸等知名产品，培育更多“浙字号”“乡字号”品牌。要在“产”上集群延链，坚持一二三产融合发展，推进农产品生产和初加工、精深加工协同发展，推动一产往后延、二产两头连、三产走高端。</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强化双轮驱动，增强内生发展动能。科技和改革是推动乡村振兴、农业农村现代化的“鸟之两翼”“车之两轮”，必须以科技增动力、以改革添活力。要做强农业科技，聚焦农业新质生产力生成，深化农业“双强”行动，打好农业关键核心技术攻坚战，加强先进适用农机研发推广，构建新型农技推广体系，培育智慧农业新产业。特别是加快推进种业振兴行动，把种子这个“芯片”做强做优。要深化改革开放，深化强村富民乡村集成改革，大力实施农村政务服务增值化改革，实施深化农村宅基地制度改革试点和强化规范管理行动，稳慎推进集体经营性建设用地入市试点，鼓励农业主体“走出去”拓市场促合作。要夯实要素保障，完善落实乡村重大产业项目用地保障机制，提高土地要素配置精准性和利用效率，健全完善财政金融协同支农长效机制，撬动引导更多社会资本投向农业农村。</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深化一体联动，探索城乡融合路径。城乡融合发展之路是乡村振兴的有效路径，必须统筹新型城镇化和乡村全面振兴，从深层次加快破除城乡二元体制机制壁垒。要加快县域规划一体化，完善“总体规划+村庄规划+乡村设计+农房设计”联动机制，实现村庄规划管控全覆盖。要不断提升县城综合承载能力，构建以县城为中心、以乡镇为节点、以农村为腹地的城乡融合发展空间体系，促进县乡村功能衔接互补，不断优化县域产业结构和空间布局，把县城做强做大做优。要加快公共服务一体化，完善低收入农户动态防返贫监测机制，逐步提高最低生活保障标准，深入实施公共服务“七优享”工程，深化县域教共体、医共体建设。特别是要聚焦乡村“一老一小”两大群体，积极发展托育、教育和养老服务。要加快资源配置一体化，深化“两进两回”，深化农业转移人口市民化集成改革，建立城乡人才合作交流机制，推动各类要素向乡村顺畅流动。</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突出塑形铸魂，展示全域和美风采。绿水青山、整体大美的乡村风貌，崇德向善、和谐善治的文明乡风，是诗画浙江最动人的景色，是现代版“富春山居图”最靓丽的色彩。要擦亮生态底色，坚持城乡生态一体协同治理，深化农业面源污染综合防治，构建秸秆露天焚烧高效处置闭环，完善全链条管控机制，加快打造乡村蓝绿生态空间，保护好浙江的绿水青山。要提升村庄风貌，推进乡村整体风貌“微改造、精提升”，加快推动现代基础设施向村覆盖、向户延伸，实现和美乡村片区化、组团式、带状型发展。要涵养文明乡风，坚持和发展新时代“枫桥经验”，打造更多移风易俗特色品牌，让文明乡风、良好家风、淳朴民风在乡村蔚然成风。</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担当实干、敢作善为抓“三农”，形成推动农业农村高质量发展的强大合力</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中央一号文件明确提出要坚持把解决好“三农”问题作为全党工作重中之重，改革完善“三农”工作体制机制，明确主攻方向，扎实组织推动。今年浙江“三农”工作的目标任务已经明确，关键在落实。</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强化党建统领。加强党对“三农”工作的全面领导，构建完善“大三农”工作格局，压紧压实五级书记抓乡村振兴责任，增进党员领导干部对农村的了解、对农民的感情。特别是要树牢大抓基层、大抓党建的鲜明导向，开展基层党建争先攀高行动，扎实推进“百县争创、千乡晋位、万村过硬”，以组织振兴引领乡村全面振兴。</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强化除险保安。健全农业自然灾害应急工作机制，深化涉海涉渔领域安全生产系统治理，增强农业防灾减灾救灾能力。要提升基层矛盾纠纷预防化解能力水平，确保农业生产安全、农村社会安宁、农民生活安顺。</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强化务实导向。巩固拓展主题教育成果，深入践行“四下基层”，深化开展“大走访大调研大服务大解题”活动，树立和践行正确政绩观，把问题找准、对策谋深、工作做实，集中力量抓好办成一批农民群众可感可及的实事。同时，要坚决纠治“三农”领域的形式主义官僚主义问题，坚决惩治侵害农民群众利益的“微腐败”和“蝇贪”，让农民群众看到浙江党员干部干净加干事、干事且干净的勤廉形象。</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（摘自易炼红同志2024年2月23日在省委农村工作会议上的讲话）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新魏">
    <w:panose1 w:val="02010800040101010101"/>
    <w:charset w:val="86"/>
    <w:family w:val="auto"/>
    <w:pitch w:val="default"/>
    <w:sig w:usb0="00000001" w:usb1="080F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zZTViMTI0M2FmNTlmZjE5NTRkZDZlYTcyOTkxMjQifQ=="/>
  </w:docVars>
  <w:rsids>
    <w:rsidRoot w:val="711804EC"/>
    <w:rsid w:val="1E4447F4"/>
    <w:rsid w:val="20776154"/>
    <w:rsid w:val="219A700D"/>
    <w:rsid w:val="33C94E7C"/>
    <w:rsid w:val="4C344283"/>
    <w:rsid w:val="4E0D1BC3"/>
    <w:rsid w:val="55EE2EA8"/>
    <w:rsid w:val="632223E3"/>
    <w:rsid w:val="71180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0">
    <w:name w:val="Strong"/>
    <w:basedOn w:val="9"/>
    <w:autoRedefine/>
    <w:qFormat/>
    <w:uiPriority w:val="0"/>
    <w:rPr>
      <w:b/>
    </w:rPr>
  </w:style>
  <w:style w:type="character" w:styleId="11">
    <w:name w:val="Emphasis"/>
    <w:basedOn w:val="9"/>
    <w:autoRedefine/>
    <w:qFormat/>
    <w:uiPriority w:val="0"/>
    <w:rPr>
      <w:i/>
    </w:rPr>
  </w:style>
  <w:style w:type="character" w:styleId="12">
    <w:name w:val="Hyperlink"/>
    <w:basedOn w:val="9"/>
    <w:autoRedefine/>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2024-03-28T05:35:00Z</dcterms:created>
  <dc:creator>林小丽</dc:creator>
  <cp:lastModifiedBy>林小丽</cp:lastModifiedBy>
  <dcterms:modified xsi:type="dcterms:W3CDTF">2024-04-08T00:58:08Z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3AB3816841CD4E4CA12AA1BA9FD3BA1B_11</vt:lpwstr>
  </property>
</Properties>
</file>